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0353" w:rsidRPr="000D5EC9" w:rsidRDefault="00013936" w:rsidP="00707F7F">
      <w:pPr>
        <w:pStyle w:val="CRCoverPage"/>
        <w:tabs>
          <w:tab w:val="right" w:pos="13323"/>
        </w:tabs>
        <w:spacing w:after="0"/>
        <w:rPr>
          <w:rFonts w:cs="Arial"/>
          <w:b/>
          <w:noProof/>
          <w:sz w:val="24"/>
          <w:szCs w:val="24"/>
        </w:rPr>
      </w:pPr>
      <w:bookmarkStart w:id="0" w:name="_Toc193024528"/>
      <w:r w:rsidRPr="00013936">
        <w:rPr>
          <w:b/>
          <w:noProof/>
          <w:sz w:val="24"/>
        </w:rPr>
        <w:t>3GPP TSG RAN</w:t>
      </w:r>
      <w:r w:rsidR="001D634E">
        <w:rPr>
          <w:b/>
          <w:noProof/>
          <w:sz w:val="24"/>
        </w:rPr>
        <w:t>4</w:t>
      </w:r>
      <w:r w:rsidRPr="00013936">
        <w:rPr>
          <w:b/>
          <w:noProof/>
          <w:sz w:val="24"/>
        </w:rPr>
        <w:t xml:space="preserve"> Meeting #</w:t>
      </w:r>
      <w:r w:rsidR="005A67F8">
        <w:rPr>
          <w:b/>
          <w:noProof/>
          <w:sz w:val="24"/>
        </w:rPr>
        <w:t>97</w:t>
      </w:r>
      <w:r w:rsidR="001D634E">
        <w:rPr>
          <w:b/>
          <w:noProof/>
          <w:sz w:val="24"/>
        </w:rPr>
        <w:t>e</w:t>
      </w:r>
      <w:r w:rsidR="00980353" w:rsidRPr="000D5EC9">
        <w:rPr>
          <w:rFonts w:cs="Arial"/>
          <w:b/>
          <w:noProof/>
          <w:sz w:val="24"/>
          <w:szCs w:val="24"/>
        </w:rPr>
        <w:tab/>
      </w:r>
      <w:r w:rsidR="001D634E">
        <w:rPr>
          <w:rFonts w:eastAsia="宋体" w:cs="Arial"/>
          <w:b/>
          <w:noProof/>
          <w:sz w:val="24"/>
          <w:szCs w:val="24"/>
          <w:lang w:eastAsia="zh-CN"/>
        </w:rPr>
        <w:t>R4-20</w:t>
      </w:r>
      <w:r w:rsidR="00707F7F">
        <w:rPr>
          <w:rFonts w:eastAsia="宋体" w:cs="Arial"/>
          <w:b/>
          <w:noProof/>
          <w:sz w:val="24"/>
          <w:szCs w:val="24"/>
          <w:lang w:eastAsia="zh-CN"/>
        </w:rPr>
        <w:t>15287</w:t>
      </w:r>
      <w:bookmarkStart w:id="1" w:name="_GoBack"/>
      <w:bookmarkEnd w:id="1"/>
    </w:p>
    <w:p w:rsidR="00980353" w:rsidRPr="00924B93" w:rsidRDefault="00013936" w:rsidP="00980353">
      <w:pPr>
        <w:pStyle w:val="CRCoverPage"/>
        <w:outlineLvl w:val="0"/>
        <w:rPr>
          <w:b/>
          <w:noProof/>
          <w:sz w:val="24"/>
        </w:rPr>
      </w:pPr>
      <w:r w:rsidRPr="00B01ACB">
        <w:rPr>
          <w:b/>
          <w:noProof/>
          <w:sz w:val="24"/>
        </w:rPr>
        <w:t xml:space="preserve">Electronic Meeting, </w:t>
      </w:r>
      <w:r w:rsidR="005A67F8">
        <w:rPr>
          <w:b/>
          <w:noProof/>
          <w:sz w:val="24"/>
        </w:rPr>
        <w:t>November 2</w:t>
      </w:r>
      <w:r>
        <w:rPr>
          <w:b/>
          <w:noProof/>
          <w:sz w:val="24"/>
        </w:rPr>
        <w:t xml:space="preserve"> </w:t>
      </w:r>
      <w:r w:rsidRPr="00B01ACB">
        <w:rPr>
          <w:b/>
          <w:noProof/>
          <w:sz w:val="24"/>
        </w:rPr>
        <w:t>-</w:t>
      </w:r>
      <w:r>
        <w:rPr>
          <w:b/>
          <w:noProof/>
          <w:sz w:val="24"/>
        </w:rPr>
        <w:t xml:space="preserve"> </w:t>
      </w:r>
      <w:r w:rsidR="005A67F8">
        <w:rPr>
          <w:b/>
          <w:noProof/>
          <w:sz w:val="24"/>
        </w:rPr>
        <w:t>13</w:t>
      </w:r>
      <w:r w:rsidRPr="00B01ACB">
        <w:rPr>
          <w:b/>
          <w:noProof/>
          <w:sz w:val="24"/>
        </w:rPr>
        <w:t>, 2020</w:t>
      </w:r>
    </w:p>
    <w:p w:rsidR="0037119B" w:rsidRPr="00980353" w:rsidRDefault="0037119B" w:rsidP="004F2CB8">
      <w:pPr>
        <w:pStyle w:val="Footer"/>
        <w:jc w:val="left"/>
        <w:rPr>
          <w:rFonts w:eastAsia="宋体"/>
          <w:b w:val="0"/>
          <w:i w:val="0"/>
          <w:noProof w:val="0"/>
          <w:sz w:val="24"/>
          <w:lang w:eastAsia="zh-CN"/>
        </w:rPr>
      </w:pPr>
    </w:p>
    <w:p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4E1E1C" w:rsidRPr="004E1E1C">
        <w:rPr>
          <w:rFonts w:ascii="Arial" w:hAnsi="Arial"/>
          <w:sz w:val="24"/>
          <w:lang w:val="en-US"/>
        </w:rPr>
        <w:t>Discussion on the SAR solutions for UL CA band combinations</w:t>
      </w:r>
    </w:p>
    <w:p w:rsidR="0037119B" w:rsidRPr="00492450" w:rsidRDefault="0037119B" w:rsidP="000F698D">
      <w:pPr>
        <w:tabs>
          <w:tab w:val="left" w:pos="1985"/>
        </w:tabs>
        <w:ind w:left="1990" w:hangingChars="826" w:hanging="1990"/>
        <w:rPr>
          <w:rStyle w:val="a4"/>
          <w:lang w:val="fr-FR"/>
        </w:rPr>
      </w:pPr>
      <w:r w:rsidRPr="00492450">
        <w:rPr>
          <w:rFonts w:ascii="Arial" w:hAnsi="Arial"/>
          <w:b/>
          <w:sz w:val="24"/>
          <w:lang w:val="fr-FR"/>
        </w:rPr>
        <w:t xml:space="preserve">Source: </w:t>
      </w:r>
      <w:r w:rsidRPr="00492450">
        <w:rPr>
          <w:rFonts w:ascii="Arial" w:hAnsi="Arial"/>
          <w:b/>
          <w:sz w:val="24"/>
          <w:lang w:val="fr-FR"/>
        </w:rPr>
        <w:tab/>
      </w:r>
      <w:r w:rsidR="00C77D4A">
        <w:rPr>
          <w:rStyle w:val="a4"/>
          <w:rFonts w:hint="eastAsia"/>
          <w:lang w:val="fr-FR"/>
        </w:rPr>
        <w:t>Huawei</w:t>
      </w:r>
      <w:r w:rsidR="00B1158E">
        <w:rPr>
          <w:rStyle w:val="a4"/>
          <w:lang w:val="fr-FR"/>
        </w:rPr>
        <w:t>, HiSilicon</w:t>
      </w:r>
    </w:p>
    <w:p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5A67F8">
        <w:rPr>
          <w:rFonts w:ascii="Arial" w:hAnsi="Arial"/>
          <w:sz w:val="24"/>
          <w:lang w:val="pt-BR"/>
        </w:rPr>
        <w:t>10.18</w:t>
      </w:r>
      <w:r w:rsidR="00103036">
        <w:rPr>
          <w:rFonts w:ascii="Arial" w:hAnsi="Arial"/>
          <w:sz w:val="24"/>
          <w:lang w:val="pt-BR"/>
        </w:rPr>
        <w:t>.</w:t>
      </w:r>
      <w:r w:rsidR="004E1E1C">
        <w:rPr>
          <w:rFonts w:ascii="Arial" w:hAnsi="Arial"/>
          <w:sz w:val="24"/>
          <w:lang w:val="pt-BR"/>
        </w:rPr>
        <w:t>2</w:t>
      </w:r>
    </w:p>
    <w:p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Discussion</w:t>
      </w:r>
    </w:p>
    <w:p w:rsidR="00DD5AE1" w:rsidRPr="00492450" w:rsidRDefault="00CD7DBF" w:rsidP="004F2CB8">
      <w:pPr>
        <w:pStyle w:val="Heading1"/>
        <w:rPr>
          <w:rFonts w:eastAsia="宋体"/>
          <w:lang w:eastAsia="zh-CN"/>
        </w:rPr>
      </w:pPr>
      <w:r>
        <w:rPr>
          <w:rFonts w:eastAsia="宋体" w:hint="eastAsia"/>
          <w:lang w:eastAsia="zh-CN"/>
        </w:rPr>
        <w:t>Introduction</w:t>
      </w:r>
    </w:p>
    <w:p w:rsidR="006370BE" w:rsidRDefault="00C85D84" w:rsidP="004E1E1C">
      <w:pPr>
        <w:rPr>
          <w:lang w:val="en-US" w:eastAsia="zh-CN"/>
        </w:rPr>
      </w:pPr>
      <w:r>
        <w:rPr>
          <w:lang w:val="en-US" w:eastAsia="zh-CN"/>
        </w:rPr>
        <w:t xml:space="preserve">In the </w:t>
      </w:r>
      <w:r w:rsidR="00730710">
        <w:rPr>
          <w:lang w:val="en-US" w:eastAsia="zh-CN"/>
        </w:rPr>
        <w:t>last plenary meeting,</w:t>
      </w:r>
      <w:r>
        <w:rPr>
          <w:lang w:val="en-US" w:eastAsia="zh-CN"/>
        </w:rPr>
        <w:t xml:space="preserve"> WID</w:t>
      </w:r>
      <w:r w:rsidR="00730710">
        <w:rPr>
          <w:lang w:val="en-US" w:eastAsia="zh-CN"/>
        </w:rPr>
        <w:t xml:space="preserve"> for SAR solutions for SUL and UL CA</w:t>
      </w:r>
      <w:r>
        <w:rPr>
          <w:lang w:val="en-US" w:eastAsia="zh-CN"/>
        </w:rPr>
        <w:t xml:space="preserve"> is </w:t>
      </w:r>
      <w:r w:rsidR="00730710">
        <w:rPr>
          <w:lang w:val="en-US" w:eastAsia="zh-CN"/>
        </w:rPr>
        <w:t>revised</w:t>
      </w:r>
      <w:r>
        <w:rPr>
          <w:lang w:val="en-US" w:eastAsia="zh-CN"/>
        </w:rPr>
        <w:t xml:space="preserve"> in [1] aiming at introducing specifications for UE SAR compliance when configured with SUL</w:t>
      </w:r>
      <w:r w:rsidR="00730710">
        <w:rPr>
          <w:lang w:val="en-US" w:eastAsia="zh-CN"/>
        </w:rPr>
        <w:t xml:space="preserve"> and UL CA</w:t>
      </w:r>
      <w:r>
        <w:rPr>
          <w:lang w:val="en-US" w:eastAsia="zh-CN"/>
        </w:rPr>
        <w:t xml:space="preserve"> band combinations. </w:t>
      </w:r>
      <w:r w:rsidR="006370BE">
        <w:rPr>
          <w:lang w:val="en-US" w:eastAsia="zh-CN"/>
        </w:rPr>
        <w:t xml:space="preserve">In this work item, RAN4 is expected to introduce signaling and schemes for UE working under </w:t>
      </w:r>
      <w:r w:rsidR="004E1E1C">
        <w:rPr>
          <w:lang w:val="en-US" w:eastAsia="zh-CN"/>
        </w:rPr>
        <w:t>UL CA</w:t>
      </w:r>
      <w:r w:rsidR="006370BE">
        <w:rPr>
          <w:lang w:val="en-US" w:eastAsia="zh-CN"/>
        </w:rPr>
        <w:t xml:space="preserve"> band combination to ensure UE SAR compliance with a</w:t>
      </w:r>
      <w:r w:rsidR="004E1E1C">
        <w:rPr>
          <w:lang w:val="en-US" w:eastAsia="zh-CN"/>
        </w:rPr>
        <w:t xml:space="preserve"> total</w:t>
      </w:r>
      <w:r w:rsidR="006370BE">
        <w:rPr>
          <w:lang w:val="en-US" w:eastAsia="zh-CN"/>
        </w:rPr>
        <w:t xml:space="preserve"> </w:t>
      </w:r>
      <w:r w:rsidR="004E1E1C">
        <w:rPr>
          <w:lang w:val="en-US" w:eastAsia="zh-CN"/>
        </w:rPr>
        <w:t>26dBm maximum output power</w:t>
      </w:r>
      <w:r w:rsidR="006370BE">
        <w:rPr>
          <w:lang w:val="en-US" w:eastAsia="zh-CN"/>
        </w:rPr>
        <w:t xml:space="preserve">. </w:t>
      </w:r>
    </w:p>
    <w:p w:rsidR="00FC29FA" w:rsidRDefault="00FC29FA" w:rsidP="000678DD">
      <w:pPr>
        <w:rPr>
          <w:lang w:val="en-US" w:eastAsia="zh-CN"/>
        </w:rPr>
      </w:pPr>
      <w:r>
        <w:rPr>
          <w:lang w:val="en-US" w:eastAsia="zh-CN"/>
        </w:rPr>
        <w:t xml:space="preserve">Actually this is not a novel topic in RAN4. </w:t>
      </w:r>
      <w:r w:rsidR="004E1E1C">
        <w:rPr>
          <w:lang w:val="en-US" w:eastAsia="zh-CN"/>
        </w:rPr>
        <w:t>In Rel-16, SAR compliance was discussed for both TDD-TDD and FDD-TDD EN-DC combinations and corresponding schemes were specified for UE transmitting 26dBm total output power. In our understanding for capability signaling aspects, UL CA should follow what had been specified for EN-DC.</w:t>
      </w:r>
    </w:p>
    <w:p w:rsidR="000678DD" w:rsidRDefault="00C73B5C" w:rsidP="000678DD">
      <w:pPr>
        <w:rPr>
          <w:lang w:val="en-US" w:eastAsia="zh-CN"/>
        </w:rPr>
      </w:pPr>
      <w:r>
        <w:rPr>
          <w:lang w:val="en-US" w:eastAsia="zh-CN"/>
        </w:rPr>
        <w:t xml:space="preserve">In this paper, we </w:t>
      </w:r>
      <w:r w:rsidR="00D83F18">
        <w:rPr>
          <w:lang w:val="en-US" w:eastAsia="zh-CN"/>
        </w:rPr>
        <w:t xml:space="preserve">discuss </w:t>
      </w:r>
      <w:r w:rsidR="00FC29FA">
        <w:rPr>
          <w:lang w:val="en-US" w:eastAsia="zh-CN"/>
        </w:rPr>
        <w:t>the related aspects in introducing the standardized SAR compliance signaling and schemes</w:t>
      </w:r>
      <w:r w:rsidR="004E1E1C">
        <w:rPr>
          <w:lang w:val="en-US" w:eastAsia="zh-CN"/>
        </w:rPr>
        <w:t xml:space="preserve"> for HPUE that configured with UL CA</w:t>
      </w:r>
      <w:r w:rsidR="00FC29FA">
        <w:rPr>
          <w:lang w:val="en-US" w:eastAsia="zh-CN"/>
        </w:rPr>
        <w:t xml:space="preserve"> band combinations</w:t>
      </w:r>
      <w:r w:rsidR="00D83F18">
        <w:rPr>
          <w:lang w:val="en-US" w:eastAsia="zh-CN"/>
        </w:rPr>
        <w:t xml:space="preserve">. </w:t>
      </w:r>
    </w:p>
    <w:p w:rsidR="000678DD" w:rsidRPr="000678DD" w:rsidRDefault="00FC29FA" w:rsidP="000678DD">
      <w:pPr>
        <w:pStyle w:val="Heading1"/>
        <w:rPr>
          <w:lang w:eastAsia="zh-CN"/>
        </w:rPr>
      </w:pPr>
      <w:bookmarkStart w:id="2" w:name="OLE_LINK1"/>
      <w:bookmarkStart w:id="3" w:name="OLE_LINK2"/>
      <w:r>
        <w:rPr>
          <w:rFonts w:eastAsia="宋体"/>
          <w:lang w:eastAsia="zh-CN"/>
        </w:rPr>
        <w:t>Generic 3GPP approach for HPUE SAR compliance</w:t>
      </w:r>
    </w:p>
    <w:p w:rsidR="00FC29FA" w:rsidRDefault="00364261" w:rsidP="004D57F1">
      <w:pPr>
        <w:rPr>
          <w:lang w:val="en-US" w:eastAsia="zh-CN"/>
        </w:rPr>
      </w:pPr>
      <w:r>
        <w:rPr>
          <w:lang w:val="en-US" w:eastAsia="zh-CN"/>
        </w:rPr>
        <w:t xml:space="preserve">SAR is one important set of requirements that is valued by many regional and national regulators. Standardized SAR compliance solutions were introduced from the very beginning since after the introduction of HPUE. In NR, the system </w:t>
      </w:r>
      <w:r w:rsidR="005734B0">
        <w:rPr>
          <w:lang w:val="en-US" w:eastAsia="zh-CN"/>
        </w:rPr>
        <w:t xml:space="preserve">sees </w:t>
      </w:r>
      <w:r>
        <w:rPr>
          <w:lang w:val="en-US" w:eastAsia="zh-CN"/>
        </w:rPr>
        <w:t>benefits from better utilizations of combining different bands in mainly three ways: EN-DC, CA and SUL band combinations.</w:t>
      </w:r>
    </w:p>
    <w:p w:rsidR="00364261" w:rsidRDefault="00364261" w:rsidP="004D57F1">
      <w:pPr>
        <w:rPr>
          <w:lang w:val="en-US" w:eastAsia="zh-CN"/>
        </w:rPr>
      </w:pPr>
      <w:r>
        <w:rPr>
          <w:lang w:val="en-US" w:eastAsia="zh-CN"/>
        </w:rPr>
        <w:t xml:space="preserve">In rel-15, a dutycycle UE capability was introduced in order for the PC2 HPUE to indicate its </w:t>
      </w:r>
      <w:r w:rsidR="00153611">
        <w:rPr>
          <w:lang w:val="en-US" w:eastAsia="zh-CN"/>
        </w:rPr>
        <w:t>largest capable rat</w:t>
      </w:r>
      <w:r w:rsidR="005734B0">
        <w:rPr>
          <w:lang w:val="en-US" w:eastAsia="zh-CN"/>
        </w:rPr>
        <w:t>io</w:t>
      </w:r>
      <w:r w:rsidR="00153611">
        <w:rPr>
          <w:lang w:val="en-US" w:eastAsia="zh-CN"/>
        </w:rPr>
        <w:t xml:space="preserve"> of UL transmit time duration out of a certain evaluation period of time on a single TDD band. With the help of this signaling, the network is able to know the UE capability of SAR compliance and schedule UL transmissions accordingly. It is recommended that the UE should fallback to PC3 if the network schedule</w:t>
      </w:r>
      <w:r w:rsidR="005734B0">
        <w:rPr>
          <w:lang w:val="en-US" w:eastAsia="zh-CN"/>
        </w:rPr>
        <w:t>s</w:t>
      </w:r>
      <w:r w:rsidR="00153611">
        <w:rPr>
          <w:lang w:val="en-US" w:eastAsia="zh-CN"/>
        </w:rPr>
        <w:t xml:space="preserve"> </w:t>
      </w:r>
      <w:r w:rsidR="005734B0">
        <w:rPr>
          <w:lang w:val="en-US" w:eastAsia="zh-CN"/>
        </w:rPr>
        <w:t>too much UL resources in certain scenarios</w:t>
      </w:r>
      <w:r w:rsidR="00153611">
        <w:rPr>
          <w:lang w:val="en-US" w:eastAsia="zh-CN"/>
        </w:rPr>
        <w:t>. This framework serves as the foundation of standardized SAR compliance in NR and is followed in considering TDD-TDD EN-DC HPUE and later FDD-TDD EN-DC HPUE. It is most likely that for SUL and UL CA, similar capability reporting shall be introduced.</w:t>
      </w:r>
    </w:p>
    <w:p w:rsidR="00364261" w:rsidRDefault="00364261" w:rsidP="004D57F1">
      <w:pPr>
        <w:rPr>
          <w:lang w:val="en-US" w:eastAsia="zh-CN"/>
        </w:rPr>
      </w:pPr>
      <w:r>
        <w:rPr>
          <w:lang w:val="en-US" w:eastAsia="zh-CN"/>
        </w:rPr>
        <w:t xml:space="preserve">In rel-16, </w:t>
      </w:r>
      <w:r w:rsidR="00153611">
        <w:rPr>
          <w:lang w:val="en-US" w:eastAsia="zh-CN"/>
        </w:rPr>
        <w:t>TDD-TDD EN-DC HPUE SAR signaling and schemes were introduced. When configured with TDD-TDD EN-DC, a 26dBm HPUE shall rep</w:t>
      </w:r>
      <w:r w:rsidR="00884754">
        <w:rPr>
          <w:lang w:val="en-US" w:eastAsia="zh-CN"/>
        </w:rPr>
        <w:t>ort the dutycycle capability on</w:t>
      </w:r>
      <w:r w:rsidR="00153611">
        <w:rPr>
          <w:lang w:val="en-US" w:eastAsia="zh-CN"/>
        </w:rPr>
        <w:t xml:space="preserve"> the NR TDD band</w:t>
      </w:r>
      <w:r w:rsidR="00884754">
        <w:rPr>
          <w:lang w:val="en-US" w:eastAsia="zh-CN"/>
        </w:rPr>
        <w:t xml:space="preserve"> according to different LTE TDD configurations. The UE has to </w:t>
      </w:r>
      <w:r w:rsidR="005734B0">
        <w:rPr>
          <w:lang w:val="en-US" w:eastAsia="zh-CN"/>
        </w:rPr>
        <w:t>calculate</w:t>
      </w:r>
      <w:r w:rsidR="00884754">
        <w:rPr>
          <w:lang w:val="en-US" w:eastAsia="zh-CN"/>
        </w:rPr>
        <w:t xml:space="preserve"> according to the LTE TDD UL/DL configuration and its ability to comply with SAR regulations the correct value</w:t>
      </w:r>
      <w:r w:rsidR="005734B0">
        <w:rPr>
          <w:lang w:val="en-US" w:eastAsia="zh-CN"/>
        </w:rPr>
        <w:t>,</w:t>
      </w:r>
      <w:r w:rsidR="00884754">
        <w:rPr>
          <w:lang w:val="en-US" w:eastAsia="zh-CN"/>
        </w:rPr>
        <w:t xml:space="preserve"> </w:t>
      </w:r>
      <w:r w:rsidR="005734B0">
        <w:rPr>
          <w:lang w:val="en-US" w:eastAsia="zh-CN"/>
        </w:rPr>
        <w:t xml:space="preserve">and </w:t>
      </w:r>
      <w:r w:rsidR="00884754">
        <w:rPr>
          <w:lang w:val="en-US" w:eastAsia="zh-CN"/>
        </w:rPr>
        <w:t xml:space="preserve">to indicate </w:t>
      </w:r>
      <w:r w:rsidR="005734B0">
        <w:rPr>
          <w:lang w:val="en-US" w:eastAsia="zh-CN"/>
        </w:rPr>
        <w:t xml:space="preserve">it </w:t>
      </w:r>
      <w:r w:rsidR="00884754">
        <w:rPr>
          <w:lang w:val="en-US" w:eastAsia="zh-CN"/>
        </w:rPr>
        <w:t>to the network in the dutycycle capability signaling.</w:t>
      </w:r>
    </w:p>
    <w:p w:rsidR="003B39D2" w:rsidRPr="003B39D2" w:rsidRDefault="00884754" w:rsidP="004D57F1">
      <w:pPr>
        <w:rPr>
          <w:lang w:eastAsia="zh-CN"/>
        </w:rPr>
      </w:pPr>
      <w:r>
        <w:rPr>
          <w:lang w:eastAsia="zh-CN"/>
        </w:rPr>
        <w:t xml:space="preserve">Similarly for </w:t>
      </w:r>
      <w:r w:rsidR="004E1E1C">
        <w:rPr>
          <w:lang w:eastAsia="zh-CN"/>
        </w:rPr>
        <w:t>UL CA</w:t>
      </w:r>
      <w:r>
        <w:rPr>
          <w:lang w:eastAsia="zh-CN"/>
        </w:rPr>
        <w:t xml:space="preserve"> band combinations, we should consider following the existing framework when introducing the standardized SAR compliance for 26dBm HPUE.</w:t>
      </w:r>
    </w:p>
    <w:p w:rsidR="002A4079" w:rsidRDefault="00884754" w:rsidP="002A4079">
      <w:pPr>
        <w:pStyle w:val="Heading1"/>
        <w:rPr>
          <w:rFonts w:eastAsia="宋体"/>
          <w:lang w:eastAsia="zh-CN"/>
        </w:rPr>
      </w:pPr>
      <w:r>
        <w:rPr>
          <w:rFonts w:eastAsia="宋体"/>
          <w:lang w:eastAsia="zh-CN"/>
        </w:rPr>
        <w:t xml:space="preserve">UE SAR capability signalling for </w:t>
      </w:r>
      <w:r w:rsidR="004E1E1C">
        <w:rPr>
          <w:rFonts w:eastAsia="宋体"/>
          <w:lang w:eastAsia="zh-CN"/>
        </w:rPr>
        <w:t>UL CA</w:t>
      </w:r>
      <w:r>
        <w:rPr>
          <w:rFonts w:eastAsia="宋体"/>
          <w:lang w:eastAsia="zh-CN"/>
        </w:rPr>
        <w:t xml:space="preserve"> band combination</w:t>
      </w:r>
      <w:r w:rsidR="006158E7">
        <w:rPr>
          <w:rFonts w:eastAsia="宋体"/>
          <w:lang w:eastAsia="zh-CN"/>
        </w:rPr>
        <w:t xml:space="preserve"> </w:t>
      </w:r>
    </w:p>
    <w:bookmarkEnd w:id="0"/>
    <w:bookmarkEnd w:id="2"/>
    <w:bookmarkEnd w:id="3"/>
    <w:p w:rsidR="00884754" w:rsidRDefault="00884754" w:rsidP="00CA4B90">
      <w:pPr>
        <w:rPr>
          <w:lang w:eastAsia="zh-CN"/>
        </w:rPr>
      </w:pPr>
      <w:r>
        <w:rPr>
          <w:lang w:eastAsia="zh-CN"/>
        </w:rPr>
        <w:t xml:space="preserve">It is important to note that here in this WI, we consider the scenario where UE is configured with a </w:t>
      </w:r>
      <w:r w:rsidR="004E1E1C">
        <w:rPr>
          <w:lang w:eastAsia="zh-CN"/>
        </w:rPr>
        <w:t>UL CA</w:t>
      </w:r>
      <w:r>
        <w:rPr>
          <w:lang w:eastAsia="zh-CN"/>
        </w:rPr>
        <w:t xml:space="preserve"> combination. The UE </w:t>
      </w:r>
      <w:r w:rsidR="004E1E1C">
        <w:rPr>
          <w:lang w:eastAsia="zh-CN"/>
        </w:rPr>
        <w:t xml:space="preserve">may </w:t>
      </w:r>
      <w:r>
        <w:rPr>
          <w:lang w:eastAsia="zh-CN"/>
        </w:rPr>
        <w:t xml:space="preserve">report </w:t>
      </w:r>
      <w:r w:rsidR="004E1E1C">
        <w:rPr>
          <w:lang w:eastAsia="zh-CN"/>
        </w:rPr>
        <w:t xml:space="preserve">wither PC3 or </w:t>
      </w:r>
      <w:r>
        <w:rPr>
          <w:lang w:eastAsia="zh-CN"/>
        </w:rPr>
        <w:t xml:space="preserve">PC2 on the TDD band but only PC3 on the </w:t>
      </w:r>
      <w:r w:rsidR="004E1E1C">
        <w:rPr>
          <w:lang w:eastAsia="zh-CN"/>
        </w:rPr>
        <w:t>FDD</w:t>
      </w:r>
      <w:r>
        <w:rPr>
          <w:lang w:eastAsia="zh-CN"/>
        </w:rPr>
        <w:t xml:space="preserve"> band</w:t>
      </w:r>
      <w:r w:rsidR="004E1E1C">
        <w:rPr>
          <w:lang w:eastAsia="zh-CN"/>
        </w:rPr>
        <w:t xml:space="preserve"> within certain combination in Rel-17</w:t>
      </w:r>
      <w:r>
        <w:rPr>
          <w:lang w:eastAsia="zh-CN"/>
        </w:rPr>
        <w:t>.</w:t>
      </w:r>
    </w:p>
    <w:p w:rsidR="00884754" w:rsidRDefault="00884754" w:rsidP="00CA4B90">
      <w:pPr>
        <w:rPr>
          <w:lang w:eastAsia="zh-CN"/>
        </w:rPr>
      </w:pPr>
      <w:r>
        <w:rPr>
          <w:lang w:eastAsia="zh-CN"/>
        </w:rPr>
        <w:t xml:space="preserve">In our understanding, </w:t>
      </w:r>
      <w:r w:rsidR="004E1E1C">
        <w:rPr>
          <w:lang w:eastAsia="zh-CN"/>
        </w:rPr>
        <w:t>the UE needs to report its capability of complying SAR requirements by a scaled dutycycle value for the configured UL CA band combination. Following the logic in Rel-16 discussions in RAN4, the scaled dutycycle meet</w:t>
      </w:r>
      <w:r w:rsidR="003C728F">
        <w:rPr>
          <w:lang w:eastAsia="zh-CN"/>
        </w:rPr>
        <w:t>s</w:t>
      </w:r>
      <w:r w:rsidR="004E1E1C">
        <w:rPr>
          <w:lang w:eastAsia="zh-CN"/>
        </w:rPr>
        <w:t xml:space="preserve"> the below </w:t>
      </w:r>
      <w:r w:rsidR="003C728F">
        <w:rPr>
          <w:lang w:eastAsia="zh-CN"/>
        </w:rPr>
        <w:t xml:space="preserve">basic </w:t>
      </w:r>
      <w:r w:rsidR="004E1E1C">
        <w:rPr>
          <w:lang w:eastAsia="zh-CN"/>
        </w:rPr>
        <w:t>function</w:t>
      </w:r>
      <w:r w:rsidR="003C728F">
        <w:rPr>
          <w:lang w:eastAsia="zh-CN"/>
        </w:rPr>
        <w:t>. The way we see it, the function should serve as a baseline for the method when considering specify UE capability signalling for UL CA combination PC2.</w:t>
      </w:r>
    </w:p>
    <w:p w:rsidR="003C728F" w:rsidRPr="00FE1585" w:rsidRDefault="003C728F" w:rsidP="003C728F">
      <w:pPr>
        <w:jc w:val="both"/>
        <w:rPr>
          <w:b/>
          <w:szCs w:val="22"/>
          <w:lang w:eastAsia="zh-CN"/>
        </w:rPr>
      </w:pPr>
      <w:r w:rsidRPr="00FE1585">
        <w:rPr>
          <w:b/>
          <w:szCs w:val="22"/>
          <w:lang w:eastAsia="zh-CN"/>
        </w:rPr>
        <w:t>Duty</w:t>
      </w:r>
      <w:r>
        <w:rPr>
          <w:rFonts w:hint="eastAsia"/>
          <w:b/>
          <w:szCs w:val="22"/>
          <w:vertAlign w:val="subscript"/>
          <w:lang w:eastAsia="zh-CN"/>
        </w:rPr>
        <w:t>NR, x</w:t>
      </w:r>
      <w:r w:rsidRPr="00FE1585">
        <w:rPr>
          <w:b/>
          <w:szCs w:val="22"/>
          <w:vertAlign w:val="subscript"/>
          <w:lang w:eastAsia="zh-CN"/>
        </w:rPr>
        <w:t xml:space="preserve"> </w:t>
      </w:r>
      <w:r w:rsidRPr="00FE1585">
        <w:rPr>
          <w:b/>
          <w:szCs w:val="22"/>
          <w:lang w:eastAsia="zh-CN"/>
        </w:rPr>
        <w:t>*( P</w:t>
      </w:r>
      <w:r>
        <w:rPr>
          <w:rFonts w:hint="eastAsia"/>
          <w:b/>
          <w:szCs w:val="22"/>
          <w:vertAlign w:val="subscript"/>
          <w:lang w:eastAsia="zh-CN"/>
        </w:rPr>
        <w:t>NR,x</w:t>
      </w:r>
      <w:r w:rsidRPr="00FE1585">
        <w:rPr>
          <w:b/>
          <w:szCs w:val="22"/>
          <w:lang w:eastAsia="zh-CN"/>
        </w:rPr>
        <w:t>/ P</w:t>
      </w:r>
      <w:r w:rsidRPr="00FE1585">
        <w:rPr>
          <w:b/>
          <w:szCs w:val="22"/>
          <w:vertAlign w:val="subscript"/>
          <w:lang w:eastAsia="zh-CN"/>
        </w:rPr>
        <w:t>26</w:t>
      </w:r>
      <w:r w:rsidRPr="00FE1585">
        <w:rPr>
          <w:b/>
          <w:szCs w:val="22"/>
          <w:lang w:eastAsia="zh-CN"/>
        </w:rPr>
        <w:t>) + Duty</w:t>
      </w:r>
      <w:r w:rsidRPr="00FE1585">
        <w:rPr>
          <w:b/>
          <w:szCs w:val="22"/>
          <w:vertAlign w:val="subscript"/>
          <w:lang w:eastAsia="zh-CN"/>
        </w:rPr>
        <w:t>NR</w:t>
      </w:r>
      <w:r>
        <w:rPr>
          <w:rFonts w:hint="eastAsia"/>
          <w:b/>
          <w:szCs w:val="22"/>
          <w:vertAlign w:val="subscript"/>
          <w:lang w:eastAsia="zh-CN"/>
        </w:rPr>
        <w:t>, y</w:t>
      </w:r>
      <w:r w:rsidRPr="00FE1585">
        <w:rPr>
          <w:b/>
          <w:szCs w:val="22"/>
          <w:lang w:eastAsia="zh-CN"/>
        </w:rPr>
        <w:t xml:space="preserve"> *(P</w:t>
      </w:r>
      <w:r w:rsidRPr="00FE1585">
        <w:rPr>
          <w:b/>
          <w:szCs w:val="22"/>
          <w:vertAlign w:val="subscript"/>
          <w:lang w:eastAsia="zh-CN"/>
        </w:rPr>
        <w:t>NR</w:t>
      </w:r>
      <w:r>
        <w:rPr>
          <w:rFonts w:hint="eastAsia"/>
          <w:b/>
          <w:szCs w:val="22"/>
          <w:vertAlign w:val="subscript"/>
          <w:lang w:eastAsia="zh-CN"/>
        </w:rPr>
        <w:t>, y</w:t>
      </w:r>
      <w:r w:rsidRPr="00FE1585">
        <w:rPr>
          <w:b/>
          <w:szCs w:val="22"/>
          <w:lang w:eastAsia="zh-CN"/>
        </w:rPr>
        <w:t>/ P</w:t>
      </w:r>
      <w:r w:rsidRPr="00FE1585">
        <w:rPr>
          <w:b/>
          <w:szCs w:val="22"/>
          <w:vertAlign w:val="subscript"/>
          <w:lang w:eastAsia="zh-CN"/>
        </w:rPr>
        <w:t>26</w:t>
      </w:r>
      <w:r w:rsidRPr="00FE1585">
        <w:rPr>
          <w:b/>
          <w:szCs w:val="22"/>
          <w:lang w:eastAsia="zh-CN"/>
        </w:rPr>
        <w:t xml:space="preserve">)  ≤ </w:t>
      </w:r>
      <w:r w:rsidRPr="00FE1585">
        <w:rPr>
          <w:b/>
          <w:i/>
          <w:szCs w:val="22"/>
          <w:lang w:eastAsia="zh-CN"/>
        </w:rPr>
        <w:t>Duty threshold</w:t>
      </w:r>
      <w:r w:rsidRPr="00FE1585">
        <w:rPr>
          <w:b/>
          <w:i/>
          <w:szCs w:val="22"/>
          <w:lang w:eastAsia="zh-CN"/>
        </w:rPr>
        <w:tab/>
        <w:t>…</w:t>
      </w:r>
      <w:r w:rsidRPr="00FE1585">
        <w:rPr>
          <w:b/>
          <w:szCs w:val="22"/>
          <w:lang w:eastAsia="zh-CN"/>
        </w:rPr>
        <w:t>(1)</w:t>
      </w:r>
    </w:p>
    <w:p w:rsidR="003C728F" w:rsidRPr="00FE1585" w:rsidRDefault="003C728F" w:rsidP="003C728F">
      <w:pPr>
        <w:jc w:val="both"/>
        <w:rPr>
          <w:szCs w:val="22"/>
          <w:lang w:eastAsia="zh-CN"/>
        </w:rPr>
      </w:pPr>
      <w:r>
        <w:rPr>
          <w:szCs w:val="22"/>
          <w:lang w:eastAsia="zh-CN"/>
        </w:rPr>
        <w:t xml:space="preserve">Where </w:t>
      </w:r>
      <w:r w:rsidRPr="00FE1585">
        <w:rPr>
          <w:szCs w:val="22"/>
          <w:lang w:eastAsia="zh-CN"/>
        </w:rPr>
        <w:t>P</w:t>
      </w:r>
      <w:r>
        <w:rPr>
          <w:rFonts w:hint="eastAsia"/>
          <w:szCs w:val="22"/>
          <w:vertAlign w:val="subscript"/>
          <w:lang w:eastAsia="zh-CN"/>
        </w:rPr>
        <w:t>NR, x</w:t>
      </w:r>
      <w:r w:rsidRPr="00FE1585">
        <w:rPr>
          <w:szCs w:val="22"/>
          <w:lang w:val="en-US" w:eastAsia="zh-CN"/>
        </w:rPr>
        <w:t xml:space="preserve">, </w:t>
      </w:r>
      <w:r w:rsidRPr="00FE1585">
        <w:rPr>
          <w:szCs w:val="22"/>
          <w:lang w:eastAsia="zh-CN"/>
        </w:rPr>
        <w:t>P</w:t>
      </w:r>
      <w:r w:rsidRPr="00FE1585">
        <w:rPr>
          <w:szCs w:val="22"/>
          <w:vertAlign w:val="subscript"/>
          <w:lang w:eastAsia="zh-CN"/>
        </w:rPr>
        <w:t>NR</w:t>
      </w:r>
      <w:r>
        <w:rPr>
          <w:rFonts w:hint="eastAsia"/>
          <w:szCs w:val="22"/>
          <w:vertAlign w:val="subscript"/>
          <w:lang w:eastAsia="zh-CN"/>
        </w:rPr>
        <w:t>, y</w:t>
      </w:r>
      <w:r w:rsidRPr="00FE1585">
        <w:rPr>
          <w:szCs w:val="22"/>
          <w:lang w:val="en-US" w:eastAsia="zh-CN"/>
        </w:rPr>
        <w:t xml:space="preserve">, </w:t>
      </w:r>
      <w:r w:rsidRPr="00FE1585">
        <w:rPr>
          <w:szCs w:val="22"/>
          <w:lang w:eastAsia="zh-CN"/>
        </w:rPr>
        <w:t>P</w:t>
      </w:r>
      <w:r w:rsidRPr="00FE1585">
        <w:rPr>
          <w:szCs w:val="22"/>
          <w:vertAlign w:val="subscript"/>
          <w:lang w:eastAsia="zh-CN"/>
        </w:rPr>
        <w:t>26</w:t>
      </w:r>
      <w:r w:rsidRPr="00FE1585">
        <w:rPr>
          <w:szCs w:val="22"/>
          <w:lang w:val="en-US" w:eastAsia="zh-CN"/>
        </w:rPr>
        <w:t xml:space="preserve"> represent the maximum linear power (mW) of </w:t>
      </w:r>
      <w:r>
        <w:rPr>
          <w:rFonts w:hint="eastAsia"/>
          <w:szCs w:val="22"/>
          <w:lang w:val="en-US" w:eastAsia="zh-CN"/>
        </w:rPr>
        <w:t>NR Band x</w:t>
      </w:r>
      <w:r w:rsidRPr="00FE1585">
        <w:rPr>
          <w:szCs w:val="22"/>
          <w:lang w:val="en-US" w:eastAsia="zh-CN"/>
        </w:rPr>
        <w:t>, NR</w:t>
      </w:r>
      <w:r>
        <w:rPr>
          <w:rFonts w:hint="eastAsia"/>
          <w:szCs w:val="22"/>
          <w:lang w:val="en-US" w:eastAsia="zh-CN"/>
        </w:rPr>
        <w:t xml:space="preserve"> Band y</w:t>
      </w:r>
      <w:r w:rsidRPr="00FE1585">
        <w:rPr>
          <w:szCs w:val="22"/>
          <w:lang w:val="en-US" w:eastAsia="zh-CN"/>
        </w:rPr>
        <w:t xml:space="preserve">, and </w:t>
      </w:r>
      <w:r>
        <w:rPr>
          <w:rFonts w:hint="eastAsia"/>
          <w:szCs w:val="22"/>
          <w:lang w:eastAsia="zh-CN"/>
        </w:rPr>
        <w:t>CA</w:t>
      </w:r>
      <w:r w:rsidRPr="00FE1585">
        <w:rPr>
          <w:szCs w:val="22"/>
          <w:lang w:eastAsia="zh-CN"/>
        </w:rPr>
        <w:t xml:space="preserve"> power class 2 respectively; Duty</w:t>
      </w:r>
      <w:r>
        <w:rPr>
          <w:rFonts w:hint="eastAsia"/>
          <w:szCs w:val="22"/>
          <w:vertAlign w:val="subscript"/>
          <w:lang w:eastAsia="zh-CN"/>
        </w:rPr>
        <w:t>NR, x</w:t>
      </w:r>
      <w:r w:rsidRPr="00FE1585">
        <w:rPr>
          <w:szCs w:val="22"/>
          <w:lang w:eastAsia="zh-CN"/>
        </w:rPr>
        <w:t>, Duty</w:t>
      </w:r>
      <w:r w:rsidRPr="00FE1585">
        <w:rPr>
          <w:szCs w:val="22"/>
          <w:vertAlign w:val="subscript"/>
          <w:lang w:eastAsia="zh-CN"/>
        </w:rPr>
        <w:t>NR</w:t>
      </w:r>
      <w:r>
        <w:rPr>
          <w:rFonts w:hint="eastAsia"/>
          <w:szCs w:val="22"/>
          <w:vertAlign w:val="subscript"/>
          <w:lang w:eastAsia="zh-CN"/>
        </w:rPr>
        <w:t>, y</w:t>
      </w:r>
      <w:r w:rsidRPr="00FE1585">
        <w:rPr>
          <w:szCs w:val="22"/>
          <w:lang w:eastAsia="zh-CN"/>
        </w:rPr>
        <w:t xml:space="preserve"> represent the </w:t>
      </w:r>
      <w:r w:rsidRPr="00FE1585">
        <w:rPr>
          <w:szCs w:val="22"/>
          <w:lang w:val="en-US" w:eastAsia="zh-CN"/>
        </w:rPr>
        <w:t>maximum</w:t>
      </w:r>
      <w:r w:rsidRPr="00FE1585">
        <w:rPr>
          <w:szCs w:val="22"/>
          <w:lang w:eastAsia="zh-CN"/>
        </w:rPr>
        <w:t xml:space="preserve"> uplink percentage of</w:t>
      </w:r>
      <w:r>
        <w:rPr>
          <w:rFonts w:hint="eastAsia"/>
          <w:szCs w:val="22"/>
          <w:lang w:eastAsia="zh-CN"/>
        </w:rPr>
        <w:t xml:space="preserve"> NR Band x</w:t>
      </w:r>
      <w:r w:rsidRPr="00FE1585">
        <w:rPr>
          <w:szCs w:val="22"/>
          <w:lang w:eastAsia="zh-CN"/>
        </w:rPr>
        <w:t xml:space="preserve">, NR </w:t>
      </w:r>
      <w:r>
        <w:rPr>
          <w:rFonts w:hint="eastAsia"/>
          <w:szCs w:val="22"/>
          <w:lang w:eastAsia="zh-CN"/>
        </w:rPr>
        <w:t xml:space="preserve">Band y </w:t>
      </w:r>
      <w:r w:rsidRPr="00FE1585">
        <w:rPr>
          <w:szCs w:val="22"/>
          <w:lang w:eastAsia="zh-CN"/>
        </w:rPr>
        <w:t xml:space="preserve">respectively. Duty threshold represents the maximum UL duty cycle that can </w:t>
      </w:r>
      <w:r>
        <w:rPr>
          <w:szCs w:val="22"/>
          <w:lang w:eastAsia="zh-CN"/>
        </w:rPr>
        <w:t>maintain the PC2</w:t>
      </w:r>
      <w:r>
        <w:rPr>
          <w:rFonts w:hint="eastAsia"/>
          <w:szCs w:val="22"/>
          <w:lang w:eastAsia="zh-CN"/>
        </w:rPr>
        <w:t xml:space="preserve"> for NR inter-band CA</w:t>
      </w:r>
      <w:r w:rsidRPr="00FE1585">
        <w:rPr>
          <w:szCs w:val="22"/>
          <w:lang w:eastAsia="zh-CN"/>
        </w:rPr>
        <w:t>.</w:t>
      </w:r>
      <w:r>
        <w:rPr>
          <w:rFonts w:hint="eastAsia"/>
          <w:szCs w:val="22"/>
          <w:lang w:eastAsia="zh-CN"/>
        </w:rPr>
        <w:t xml:space="preserve"> </w:t>
      </w:r>
    </w:p>
    <w:p w:rsidR="00D4400E" w:rsidRDefault="00245D5E" w:rsidP="00CA4B90">
      <w:pPr>
        <w:rPr>
          <w:b/>
          <w:lang w:val="en-US" w:eastAsia="zh-CN"/>
        </w:rPr>
      </w:pPr>
      <w:r w:rsidRPr="00245D5E">
        <w:rPr>
          <w:b/>
          <w:lang w:val="en-US" w:eastAsia="zh-CN"/>
        </w:rPr>
        <w:lastRenderedPageBreak/>
        <w:t>Proposal</w:t>
      </w:r>
      <w:r w:rsidR="00901D9F">
        <w:rPr>
          <w:b/>
          <w:lang w:val="en-US" w:eastAsia="zh-CN"/>
        </w:rPr>
        <w:t xml:space="preserve"> 1</w:t>
      </w:r>
      <w:r w:rsidRPr="00245D5E">
        <w:rPr>
          <w:b/>
          <w:lang w:val="en-US" w:eastAsia="zh-CN"/>
        </w:rPr>
        <w:t xml:space="preserve">: </w:t>
      </w:r>
      <w:r w:rsidR="00AA6730" w:rsidRPr="00245D5E">
        <w:rPr>
          <w:b/>
          <w:lang w:val="en-US" w:eastAsia="zh-CN"/>
        </w:rPr>
        <w:t xml:space="preserve"> </w:t>
      </w:r>
      <w:r w:rsidR="005D5D34">
        <w:rPr>
          <w:b/>
          <w:lang w:val="en-US" w:eastAsia="zh-CN"/>
        </w:rPr>
        <w:t xml:space="preserve">UE reports </w:t>
      </w:r>
      <w:r w:rsidR="003C728F">
        <w:rPr>
          <w:b/>
          <w:lang w:val="en-US" w:eastAsia="zh-CN"/>
        </w:rPr>
        <w:t>one scaled dutycycle capability for UL CA combination with 26dbm maximum total output power</w:t>
      </w:r>
      <w:r w:rsidRPr="005F32D0">
        <w:rPr>
          <w:b/>
          <w:lang w:val="en-US" w:eastAsia="zh-CN"/>
        </w:rPr>
        <w:t>.</w:t>
      </w:r>
    </w:p>
    <w:p w:rsidR="00B9097E" w:rsidRDefault="00101F32" w:rsidP="00B9097E">
      <w:pPr>
        <w:pStyle w:val="Heading1"/>
        <w:rPr>
          <w:rFonts w:eastAsia="宋体"/>
          <w:lang w:eastAsia="zh-CN"/>
        </w:rPr>
      </w:pPr>
      <w:r>
        <w:rPr>
          <w:rFonts w:eastAsia="宋体"/>
          <w:lang w:eastAsia="zh-CN"/>
        </w:rPr>
        <w:t>Conclusions</w:t>
      </w:r>
    </w:p>
    <w:p w:rsidR="005D5D34" w:rsidRDefault="005D5D34" w:rsidP="005D5D34">
      <w:pPr>
        <w:rPr>
          <w:lang w:val="en-US" w:eastAsia="zh-CN"/>
        </w:rPr>
      </w:pPr>
      <w:r>
        <w:rPr>
          <w:lang w:val="en-US" w:eastAsia="zh-CN"/>
        </w:rPr>
        <w:t xml:space="preserve">In this paper, we discuss the related aspects in introducing the standardized SAR compliance signaling and schemes for HPUE that configured with SUL band combinations. </w:t>
      </w:r>
    </w:p>
    <w:p w:rsidR="003C728F" w:rsidRDefault="003C728F" w:rsidP="003C728F">
      <w:pPr>
        <w:rPr>
          <w:b/>
          <w:lang w:val="en-US" w:eastAsia="zh-CN"/>
        </w:rPr>
      </w:pPr>
      <w:r w:rsidRPr="00245D5E">
        <w:rPr>
          <w:b/>
          <w:lang w:val="en-US" w:eastAsia="zh-CN"/>
        </w:rPr>
        <w:t>Proposal</w:t>
      </w:r>
      <w:r>
        <w:rPr>
          <w:b/>
          <w:lang w:val="en-US" w:eastAsia="zh-CN"/>
        </w:rPr>
        <w:t xml:space="preserve"> 1</w:t>
      </w:r>
      <w:r w:rsidRPr="00245D5E">
        <w:rPr>
          <w:b/>
          <w:lang w:val="en-US" w:eastAsia="zh-CN"/>
        </w:rPr>
        <w:t xml:space="preserve">:  </w:t>
      </w:r>
      <w:r>
        <w:rPr>
          <w:b/>
          <w:lang w:val="en-US" w:eastAsia="zh-CN"/>
        </w:rPr>
        <w:t>UE reports one scaled dutycycle capability for UL CA combination with 26dbm maximum total output power</w:t>
      </w:r>
      <w:r w:rsidRPr="005F32D0">
        <w:rPr>
          <w:b/>
          <w:lang w:val="en-US" w:eastAsia="zh-CN"/>
        </w:rPr>
        <w:t>.</w:t>
      </w:r>
    </w:p>
    <w:p w:rsidR="00245D5E" w:rsidRDefault="00245D5E" w:rsidP="00245D5E">
      <w:pPr>
        <w:pStyle w:val="Heading1"/>
        <w:rPr>
          <w:rFonts w:eastAsia="宋体"/>
          <w:lang w:eastAsia="zh-CN"/>
        </w:rPr>
      </w:pPr>
      <w:r>
        <w:rPr>
          <w:rFonts w:eastAsia="宋体"/>
          <w:lang w:eastAsia="zh-CN"/>
        </w:rPr>
        <w:t>References</w:t>
      </w:r>
    </w:p>
    <w:p w:rsidR="00E33BE6" w:rsidRDefault="00245D5E" w:rsidP="003C728F">
      <w:pPr>
        <w:rPr>
          <w:lang w:val="en-US" w:eastAsia="zh-CN"/>
        </w:rPr>
      </w:pPr>
      <w:r>
        <w:rPr>
          <w:lang w:val="en-US" w:eastAsia="zh-CN"/>
        </w:rPr>
        <w:t xml:space="preserve">[1] </w:t>
      </w:r>
      <w:r w:rsidR="0095154E">
        <w:rPr>
          <w:lang w:val="en-US" w:eastAsia="zh-CN"/>
        </w:rPr>
        <w:t>RP-20</w:t>
      </w:r>
      <w:r w:rsidR="00730710">
        <w:rPr>
          <w:lang w:val="en-US" w:eastAsia="zh-CN"/>
        </w:rPr>
        <w:t>1584</w:t>
      </w:r>
      <w:r w:rsidR="0095154E">
        <w:rPr>
          <w:lang w:val="en-US" w:eastAsia="zh-CN"/>
        </w:rPr>
        <w:t xml:space="preserve">, </w:t>
      </w:r>
      <w:r w:rsidR="00730710">
        <w:rPr>
          <w:rFonts w:eastAsia="Batang" w:cs="Arial"/>
          <w:lang w:eastAsia="zh-CN"/>
        </w:rPr>
        <w:t>Revised</w:t>
      </w:r>
      <w:r w:rsidR="005D5D34" w:rsidRPr="005D5D34">
        <w:rPr>
          <w:rFonts w:eastAsia="Batang" w:cs="Arial"/>
          <w:lang w:eastAsia="zh-CN"/>
        </w:rPr>
        <w:t xml:space="preserve"> WID: </w:t>
      </w:r>
      <w:r w:rsidR="00730710" w:rsidRPr="00730710">
        <w:rPr>
          <w:rFonts w:eastAsia="Batang" w:cs="Arial"/>
          <w:lang w:eastAsia="zh-CN"/>
        </w:rPr>
        <w:t>SAR schemes for UE power class 2 (PC2) for NR inter-band Carrier Aggregation and supplemental uplink (SUL) configurations with 2 bands UL</w:t>
      </w:r>
      <w:r w:rsidR="0095154E">
        <w:rPr>
          <w:lang w:val="en-US" w:eastAsia="zh-CN"/>
        </w:rPr>
        <w:t xml:space="preserve">, </w:t>
      </w:r>
      <w:r w:rsidR="005D5D34">
        <w:rPr>
          <w:lang w:val="en-US" w:eastAsia="zh-CN"/>
        </w:rPr>
        <w:t>China Telecom</w:t>
      </w:r>
      <w:r w:rsidR="0095154E" w:rsidRPr="0095154E">
        <w:t xml:space="preserve"> </w:t>
      </w:r>
    </w:p>
    <w:p w:rsidR="00245D5E" w:rsidRDefault="00245D5E" w:rsidP="00CA4B90">
      <w:pPr>
        <w:rPr>
          <w:lang w:val="en-US" w:eastAsia="zh-CN"/>
        </w:rPr>
      </w:pPr>
    </w:p>
    <w:sectPr w:rsidR="00245D5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60AC" w:rsidRDefault="00CD60AC">
      <w:r>
        <w:separator/>
      </w:r>
    </w:p>
  </w:endnote>
  <w:endnote w:type="continuationSeparator" w:id="0">
    <w:p w:rsidR="00CD60AC" w:rsidRDefault="00CD6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28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60AC" w:rsidRDefault="00CD60AC">
      <w:r>
        <w:separator/>
      </w:r>
    </w:p>
  </w:footnote>
  <w:footnote w:type="continuationSeparator" w:id="0">
    <w:p w:rsidR="00CD60AC" w:rsidRDefault="00CD60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C75CB0"/>
    <w:multiLevelType w:val="hybridMultilevel"/>
    <w:tmpl w:val="B8E82C54"/>
    <w:lvl w:ilvl="0" w:tplc="D43EE0DA">
      <w:start w:val="10"/>
      <w:numFmt w:val="bullet"/>
      <w:lvlText w:val="-"/>
      <w:lvlJc w:val="left"/>
      <w:pPr>
        <w:ind w:left="720" w:hanging="360"/>
      </w:pPr>
      <w:rPr>
        <w:rFonts w:ascii="CG Times (WN)" w:eastAsia="宋体"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16C630F8"/>
    <w:lvl w:ilvl="0">
      <w:start w:val="1"/>
      <w:numFmt w:val="decimal"/>
      <w:pStyle w:val="Heading1"/>
      <w:suff w:val="nothing"/>
      <w:lvlText w:val="%1  "/>
      <w:lvlJc w:val="left"/>
      <w:pPr>
        <w:ind w:left="0" w:firstLine="0"/>
      </w:pPr>
      <w:rPr>
        <w:rFonts w:ascii="Arial" w:eastAsia="黑体" w:hAnsi="Arial" w:hint="default"/>
        <w:b w:val="0"/>
        <w:i w:val="0"/>
        <w:sz w:val="32"/>
        <w:szCs w:val="32"/>
        <w:lang w:val="en-GB"/>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032EF1"/>
    <w:multiLevelType w:val="hybridMultilevel"/>
    <w:tmpl w:val="29DA1ADC"/>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0"/>
  </w:num>
  <w:num w:numId="4">
    <w:abstractNumId w:val="31"/>
  </w:num>
  <w:num w:numId="5">
    <w:abstractNumId w:val="22"/>
  </w:num>
  <w:num w:numId="6">
    <w:abstractNumId w:val="3"/>
  </w:num>
  <w:num w:numId="7">
    <w:abstractNumId w:val="9"/>
  </w:num>
  <w:num w:numId="8">
    <w:abstractNumId w:val="16"/>
  </w:num>
  <w:num w:numId="9">
    <w:abstractNumId w:val="18"/>
  </w:num>
  <w:num w:numId="10">
    <w:abstractNumId w:val="7"/>
  </w:num>
  <w:num w:numId="11">
    <w:abstractNumId w:val="15"/>
  </w:num>
  <w:num w:numId="12">
    <w:abstractNumId w:val="11"/>
  </w:num>
  <w:num w:numId="13">
    <w:abstractNumId w:val="28"/>
  </w:num>
  <w:num w:numId="14">
    <w:abstractNumId w:val="6"/>
  </w:num>
  <w:num w:numId="15">
    <w:abstractNumId w:val="19"/>
  </w:num>
  <w:num w:numId="16">
    <w:abstractNumId w:val="12"/>
  </w:num>
  <w:num w:numId="17">
    <w:abstractNumId w:val="26"/>
  </w:num>
  <w:num w:numId="18">
    <w:abstractNumId w:val="29"/>
  </w:num>
  <w:num w:numId="19">
    <w:abstractNumId w:val="14"/>
  </w:num>
  <w:num w:numId="20">
    <w:abstractNumId w:val="13"/>
  </w:num>
  <w:num w:numId="21">
    <w:abstractNumId w:val="27"/>
  </w:num>
  <w:num w:numId="22">
    <w:abstractNumId w:val="17"/>
  </w:num>
  <w:num w:numId="23">
    <w:abstractNumId w:val="23"/>
  </w:num>
  <w:num w:numId="24">
    <w:abstractNumId w:val="4"/>
  </w:num>
  <w:num w:numId="25">
    <w:abstractNumId w:val="24"/>
  </w:num>
  <w:num w:numId="26">
    <w:abstractNumId w:val="20"/>
  </w:num>
  <w:num w:numId="27">
    <w:abstractNumId w:val="10"/>
  </w:num>
  <w:num w:numId="28">
    <w:abstractNumId w:val="21"/>
  </w:num>
  <w:num w:numId="29">
    <w:abstractNumId w:val="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
  </w:num>
  <w:num w:numId="32">
    <w:abstractNumId w:val="8"/>
  </w:num>
  <w:num w:numId="33">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A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AB"/>
    <w:rsid w:val="000832CF"/>
    <w:rsid w:val="00083842"/>
    <w:rsid w:val="00083FC9"/>
    <w:rsid w:val="000843D9"/>
    <w:rsid w:val="00084F0C"/>
    <w:rsid w:val="0008542E"/>
    <w:rsid w:val="000854A3"/>
    <w:rsid w:val="000857AD"/>
    <w:rsid w:val="00085DF3"/>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4243"/>
    <w:rsid w:val="000C42DD"/>
    <w:rsid w:val="000C4C1E"/>
    <w:rsid w:val="000C4E93"/>
    <w:rsid w:val="000C6CBB"/>
    <w:rsid w:val="000C6D76"/>
    <w:rsid w:val="000C6E31"/>
    <w:rsid w:val="000C7168"/>
    <w:rsid w:val="000D0344"/>
    <w:rsid w:val="000D3620"/>
    <w:rsid w:val="000D3B23"/>
    <w:rsid w:val="000D468C"/>
    <w:rsid w:val="000D5EC9"/>
    <w:rsid w:val="000E02F8"/>
    <w:rsid w:val="000E13C9"/>
    <w:rsid w:val="000E1AF4"/>
    <w:rsid w:val="000E301C"/>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3036"/>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5A22"/>
    <w:rsid w:val="00126539"/>
    <w:rsid w:val="00126BF7"/>
    <w:rsid w:val="0013072A"/>
    <w:rsid w:val="0013091C"/>
    <w:rsid w:val="00130B2E"/>
    <w:rsid w:val="00130C8A"/>
    <w:rsid w:val="001312D1"/>
    <w:rsid w:val="0013156C"/>
    <w:rsid w:val="00131814"/>
    <w:rsid w:val="00131C3E"/>
    <w:rsid w:val="00131EA5"/>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3611"/>
    <w:rsid w:val="0015526C"/>
    <w:rsid w:val="00157372"/>
    <w:rsid w:val="00157DB3"/>
    <w:rsid w:val="0016006A"/>
    <w:rsid w:val="0016044E"/>
    <w:rsid w:val="00160DF5"/>
    <w:rsid w:val="001629A3"/>
    <w:rsid w:val="00162F6B"/>
    <w:rsid w:val="001636D5"/>
    <w:rsid w:val="00163EEC"/>
    <w:rsid w:val="00164C34"/>
    <w:rsid w:val="00165014"/>
    <w:rsid w:val="00166B87"/>
    <w:rsid w:val="001679FD"/>
    <w:rsid w:val="0017100B"/>
    <w:rsid w:val="00171AFC"/>
    <w:rsid w:val="00171F68"/>
    <w:rsid w:val="001723ED"/>
    <w:rsid w:val="001727EE"/>
    <w:rsid w:val="001743B3"/>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41F3"/>
    <w:rsid w:val="001E4AA3"/>
    <w:rsid w:val="001E50E2"/>
    <w:rsid w:val="001E6065"/>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43F"/>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042"/>
    <w:rsid w:val="00336954"/>
    <w:rsid w:val="003371C6"/>
    <w:rsid w:val="00340002"/>
    <w:rsid w:val="00340AC9"/>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261"/>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439"/>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6A62"/>
    <w:rsid w:val="003C6D51"/>
    <w:rsid w:val="003C7216"/>
    <w:rsid w:val="003C728F"/>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EAB"/>
    <w:rsid w:val="004245F2"/>
    <w:rsid w:val="004257D6"/>
    <w:rsid w:val="0042735E"/>
    <w:rsid w:val="004307F1"/>
    <w:rsid w:val="00432380"/>
    <w:rsid w:val="00433E63"/>
    <w:rsid w:val="004342C1"/>
    <w:rsid w:val="00434BE2"/>
    <w:rsid w:val="004354E9"/>
    <w:rsid w:val="00435C19"/>
    <w:rsid w:val="00435C42"/>
    <w:rsid w:val="00437000"/>
    <w:rsid w:val="00437A99"/>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891"/>
    <w:rsid w:val="004A7C06"/>
    <w:rsid w:val="004B05D3"/>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EB1"/>
    <w:rsid w:val="004C4FA4"/>
    <w:rsid w:val="004C5480"/>
    <w:rsid w:val="004C5649"/>
    <w:rsid w:val="004C660D"/>
    <w:rsid w:val="004C687C"/>
    <w:rsid w:val="004C702B"/>
    <w:rsid w:val="004C7705"/>
    <w:rsid w:val="004D0597"/>
    <w:rsid w:val="004D07C9"/>
    <w:rsid w:val="004D1421"/>
    <w:rsid w:val="004D14E6"/>
    <w:rsid w:val="004D1F98"/>
    <w:rsid w:val="004D221A"/>
    <w:rsid w:val="004D244F"/>
    <w:rsid w:val="004D5606"/>
    <w:rsid w:val="004D57F1"/>
    <w:rsid w:val="004D6157"/>
    <w:rsid w:val="004D679B"/>
    <w:rsid w:val="004D73A3"/>
    <w:rsid w:val="004E0214"/>
    <w:rsid w:val="004E0D65"/>
    <w:rsid w:val="004E118E"/>
    <w:rsid w:val="004E1D68"/>
    <w:rsid w:val="004E1E1C"/>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4B0"/>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DD7"/>
    <w:rsid w:val="00586F21"/>
    <w:rsid w:val="005915FB"/>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7F8"/>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E91"/>
    <w:rsid w:val="005D38FB"/>
    <w:rsid w:val="005D5A2E"/>
    <w:rsid w:val="005D5D34"/>
    <w:rsid w:val="005D7283"/>
    <w:rsid w:val="005D7DC3"/>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370BE"/>
    <w:rsid w:val="006407A8"/>
    <w:rsid w:val="00641134"/>
    <w:rsid w:val="006418C7"/>
    <w:rsid w:val="006429F8"/>
    <w:rsid w:val="006438A5"/>
    <w:rsid w:val="006439F7"/>
    <w:rsid w:val="00643D70"/>
    <w:rsid w:val="00643FDE"/>
    <w:rsid w:val="0064476B"/>
    <w:rsid w:val="006450FA"/>
    <w:rsid w:val="00646458"/>
    <w:rsid w:val="0064645B"/>
    <w:rsid w:val="00647E1E"/>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07F7F"/>
    <w:rsid w:val="0071066D"/>
    <w:rsid w:val="00711232"/>
    <w:rsid w:val="007125B7"/>
    <w:rsid w:val="00712AA2"/>
    <w:rsid w:val="00712F5A"/>
    <w:rsid w:val="007132D7"/>
    <w:rsid w:val="007136BA"/>
    <w:rsid w:val="0071483E"/>
    <w:rsid w:val="00714E6D"/>
    <w:rsid w:val="007156C4"/>
    <w:rsid w:val="007162E1"/>
    <w:rsid w:val="007164CE"/>
    <w:rsid w:val="007174EE"/>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710"/>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D70"/>
    <w:rsid w:val="007B233F"/>
    <w:rsid w:val="007B304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7C8"/>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47D5"/>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8A3"/>
    <w:rsid w:val="008839BF"/>
    <w:rsid w:val="00883B0A"/>
    <w:rsid w:val="00884754"/>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A0411"/>
    <w:rsid w:val="008A07B6"/>
    <w:rsid w:val="008A1CC0"/>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D9F"/>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A3"/>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3EB2"/>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D0A"/>
    <w:rsid w:val="009C5FA0"/>
    <w:rsid w:val="009C76BC"/>
    <w:rsid w:val="009D0574"/>
    <w:rsid w:val="009D0CD5"/>
    <w:rsid w:val="009D119A"/>
    <w:rsid w:val="009D3199"/>
    <w:rsid w:val="009D4386"/>
    <w:rsid w:val="009D45FA"/>
    <w:rsid w:val="009D5BEE"/>
    <w:rsid w:val="009D63F9"/>
    <w:rsid w:val="009D69DE"/>
    <w:rsid w:val="009D7468"/>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735F"/>
    <w:rsid w:val="00C0058C"/>
    <w:rsid w:val="00C011FD"/>
    <w:rsid w:val="00C022F3"/>
    <w:rsid w:val="00C02CCB"/>
    <w:rsid w:val="00C04139"/>
    <w:rsid w:val="00C041DD"/>
    <w:rsid w:val="00C042AF"/>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5D84"/>
    <w:rsid w:val="00C860CA"/>
    <w:rsid w:val="00C86957"/>
    <w:rsid w:val="00C90E8B"/>
    <w:rsid w:val="00C9170E"/>
    <w:rsid w:val="00C92086"/>
    <w:rsid w:val="00C92420"/>
    <w:rsid w:val="00C93080"/>
    <w:rsid w:val="00C950C5"/>
    <w:rsid w:val="00C95985"/>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0AAA"/>
    <w:rsid w:val="00CB11E0"/>
    <w:rsid w:val="00CB1F2F"/>
    <w:rsid w:val="00CB33D7"/>
    <w:rsid w:val="00CB3714"/>
    <w:rsid w:val="00CB3F18"/>
    <w:rsid w:val="00CB4DE2"/>
    <w:rsid w:val="00CB7C74"/>
    <w:rsid w:val="00CC004A"/>
    <w:rsid w:val="00CC1845"/>
    <w:rsid w:val="00CC1B29"/>
    <w:rsid w:val="00CC475F"/>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0AC"/>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3BE6"/>
    <w:rsid w:val="00E34407"/>
    <w:rsid w:val="00E3467F"/>
    <w:rsid w:val="00E34F8C"/>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50A"/>
    <w:rsid w:val="00F15201"/>
    <w:rsid w:val="00F15345"/>
    <w:rsid w:val="00F15D7D"/>
    <w:rsid w:val="00F1617C"/>
    <w:rsid w:val="00F164F2"/>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57A"/>
    <w:rsid w:val="00FB575F"/>
    <w:rsid w:val="00FB5762"/>
    <w:rsid w:val="00FB6A83"/>
    <w:rsid w:val="00FB7F73"/>
    <w:rsid w:val="00FC06B6"/>
    <w:rsid w:val="00FC09B6"/>
    <w:rsid w:val="00FC0E8D"/>
    <w:rsid w:val="00FC136F"/>
    <w:rsid w:val="00FC259B"/>
    <w:rsid w:val="00FC283B"/>
    <w:rsid w:val="00FC29D1"/>
    <w:rsid w:val="00FC29FA"/>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29A6"/>
    <w:rsid w:val="00FE33AC"/>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B4EF35A-F4F3-4183-BF39-5B821F331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style>
  <w:style w:type="character" w:customStyle="1" w:styleId="B4Char">
    <w:name w:val="B4 Char"/>
    <w:link w:val="B4"/>
    <w:rsid w:val="00415963"/>
    <w:rPr>
      <w:rFonts w:eastAsia="宋体"/>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宋体"/>
      <w:color w:val="0000FF"/>
      <w:u w:val="single"/>
      <w:lang w:val="en-US" w:eastAsia="zh-CN" w:bidi="ar-SA"/>
    </w:rPr>
  </w:style>
  <w:style w:type="character" w:styleId="CommentReference">
    <w:name w:val="annotation reference"/>
    <w:uiPriority w:val="99"/>
    <w:rPr>
      <w:rFonts w:eastAsia="宋体"/>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宋体"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rsid w:val="004D14E6"/>
    <w:rPr>
      <w:rFonts w:eastAsia="宋体"/>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uiPriority w:val="99"/>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C82EB4"/>
    <w:pPr>
      <w:spacing w:after="0"/>
      <w:ind w:firstLineChars="200" w:firstLine="420"/>
    </w:pPr>
    <w:rPr>
      <w:rFonts w:ascii="宋体" w:hAnsi="宋体" w:cs="宋体"/>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宋体"/>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宋体"/>
      <w:lang w:val="en-GB" w:eastAsia="en-US"/>
    </w:rPr>
  </w:style>
  <w:style w:type="character" w:customStyle="1" w:styleId="BalloonTextChar">
    <w:name w:val="Balloon Text Char"/>
    <w:link w:val="BalloonText"/>
    <w:rsid w:val="00B1158E"/>
    <w:rPr>
      <w:rFonts w:ascii="Tahoma" w:eastAsia="宋体" w:hAnsi="Tahoma" w:cs="Tahoma"/>
      <w:sz w:val="16"/>
      <w:szCs w:val="16"/>
      <w:lang w:val="en-GB" w:eastAsia="en-US"/>
    </w:rPr>
  </w:style>
  <w:style w:type="character" w:customStyle="1" w:styleId="CommentSubjectChar">
    <w:name w:val="Comment Subject Char"/>
    <w:link w:val="CommentSubject"/>
    <w:rsid w:val="00B1158E"/>
    <w:rPr>
      <w:rFonts w:eastAsia="宋体"/>
      <w:b/>
      <w:bCs/>
      <w:lang w:val="en-GB" w:eastAsia="en-US"/>
    </w:rPr>
  </w:style>
  <w:style w:type="character" w:customStyle="1" w:styleId="DocumentMapChar">
    <w:name w:val="Document Map Char"/>
    <w:link w:val="DocumentMap"/>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宋体"/>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1BBA7-2B72-45B3-AD1E-F0D5949B8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2</Pages>
  <Words>680</Words>
  <Characters>3878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4549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14</cp:revision>
  <cp:lastPrinted>2009-04-22T01:01:00Z</cp:lastPrinted>
  <dcterms:created xsi:type="dcterms:W3CDTF">2020-08-07T10:57:00Z</dcterms:created>
  <dcterms:modified xsi:type="dcterms:W3CDTF">2020-10-23T11:17:00Z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(3)Jj6ALCARULIufeGo2iOiYDAVeYWbsWge7LuOCK64lnfkUiL3YidUtRvF2sbuLq16hTDwu6RQ
c1YFY/4JC3SkJr/kIntvfpPMasn4bPyDk0uRMI2CyvF7wzbhbNBotj+UWX/oapsU/DBBFxYk
1YcxHecHPr4ycnYNo16YjRSYtk5XO3VTdjtu4RuwaKM9XQTnrg8+NN2zhQZHOqKg88CEbl0T
UEEC6e5w37vjtL5P3b</vt:lpwstr>
  </property>
  <property fmtid="{D5CDD505-2E9C-101B-9397-08002B2CF9AE}" pid="17" name="_2015_ms_pID_725343_00">
    <vt:lpwstr>_2015_ms_pID_725343</vt:lpwstr>
  </property>
  <property fmtid="{D5CDD505-2E9C-101B-9397-08002B2CF9AE}" pid="18" name="_2015_ms_pID_7253431">
    <vt:lpwstr>NfnMCyAV/jNW/0hhhNVPMJMvFPjSd7yV8U6vZ8PQfX8AWPEDw4i2NI
7fll4rr+0KuIDPHVL/joTUfYyqWipKCq6er10qb1qL/Y/yGCSC6NzT6DeWKCmN8rhCJ94dbs
AvUmkvSEv0v3NH2w/qYeZydiQWavk/Lc6DS3NRrrvPp9s1tFVXbvy5RDkfgSzyPQsKrcO+n8
6yTN7HcODE5Zk5VMgU8/cAH121zdjHaGzj8a</vt:lpwstr>
  </property>
  <property fmtid="{D5CDD505-2E9C-101B-9397-08002B2CF9AE}" pid="19" name="_2015_ms_pID_7253431_00">
    <vt:lpwstr>_2015_ms_pID_7253431</vt:lpwstr>
  </property>
  <property fmtid="{D5CDD505-2E9C-101B-9397-08002B2CF9AE}" pid="20" name="_2015_ms_pID_7253432">
    <vt:lpwstr>I/iMRgv3aSjLaTV+a8mhZqmZEZW9NEmBdgw9
mBSrWaEwBSduVOAoOlnGYpE56f82nmf53Za0LQRFEO3z3YlQzzs=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